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dr. sc. Darko Luki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redoviti profesor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Akademije dramske umjentosti Sveu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u Zagrebu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Dizajn u izvedbenim umjetnostima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rFonts w:ascii="Arial" w:cs="Arial" w:hAnsi="Arial" w:eastAsia="Arial"/>
          <w:b w:val="1"/>
          <w:bCs w:val="1"/>
          <w:position w:val="0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Izvedbene umjetnosti kao biznis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Velikom dijelu teatrologa 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 je prihvatljivo, ako ne i odbojno razmi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ljanje o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tu (i izvedbenim umjetnostima) kao o biznisu. Pa ipak, s aspekta kulturnog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menta i kulturnih politika odavno je posve legitimno razmi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ljati i na takav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in. Promatramo li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umjetnost kao poduzetni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 proces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(Chong, 2005:36), i u tom kontekstu izvedbene umjetnosti kao (poseban i po mnogim odrednicama specifi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an) biznis,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 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 vrlo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ajno mjesto i ulogu dizajna u toj vrsti biznisa na najmanje tri razine o kojima 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 ovdje govoriti.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Izvedbene umjetnosti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ajno sudjeluju u oblikovanju kulturnog kapitala, posebno u aspektu neopipljivog kulturnog kapitala sredine u kojoj se proizvode (vidi Thorsby, 2001:46). Pritom su konkretni ekonomski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inci umjetnosti, (pa tako i izvedbenih umjetnosti), izravni i neizravni, vrlo mjerljivi i egzaktno dokazivi (vidi Byrnes, 2003:227). Najva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nije studije o odnosu ulaganja i dobiti u umjetnosti i kulturi, posebno u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ju specifi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nosti pona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anja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i u mjerenju koristi (benefit) od ulaganja u umjetnost i kulturu (vidi Frey, 2003:162-179) nude ekonomski jasne, matemati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ki precizne i krajnje egzaktne pokazatelje koji prostore umjetnosti prepoznaju i promatraju kao biznis.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Kao i ostale umjetnosti, i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ire, cijelo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je kulture, i izvedbene se umjetnosti tretiraju u kulturnim politikama (i) kao ekonomski faktor, i to na razinama proizvodnje, distribucije i konzumacije (vidi Thorsby, 2010:24). Analize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nih ustanova provedene na taj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in, a posebno spoznaje o veli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ini ustanove u odnosu na strukturu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ta, ukazale su na presudno mjesto i ulogu faktora inovativnosti (vidi Heilbrun i Gray, 2001:133), u kojoj i dizajn proizvoda svakako ima nagla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eno mjesto. Osim toga, u samoj definiciji kreativnih industrija i kreativne ekonomije ukazano je na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nost dizajna odre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enjem koje ka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da se kreativna ekonomija zasniva na proizvodima kod kojih se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vrijednost proizvoda temelji na dizajnu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(Bilton, 2010:16).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U tom svjetlu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 razmatrati odnos dizajna i biznisa u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ju izvedbenih umjetnosti na najmanje tri jasno 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ljive i mjerljive razine. Prvo,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 promatrati dizajn u samom proizvodu - predstavi. Zatim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 promatrati dizajn u marketingu tog proizvoda, u marketiranju predstave, i, kona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no, na tre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oj razini,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je govoriti o mjestu i ulozi dizajna u institucionalnom pozicioniranju samog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ta, pri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emu govorimo o dizajniranju teatra, ali </w:t>
      </w:r>
      <w:r>
        <w:rPr>
          <w:rFonts w:ascii="Arial"/>
          <w:sz w:val="24"/>
          <w:szCs w:val="24"/>
          <w:rtl w:val="0"/>
        </w:rPr>
        <w:t xml:space="preserve">u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irem smislu </w:t>
      </w:r>
      <w:r>
        <w:rPr>
          <w:rFonts w:ascii="Arial"/>
          <w:sz w:val="24"/>
          <w:szCs w:val="24"/>
          <w:rtl w:val="0"/>
        </w:rPr>
        <w:t>i o urbanom dizajnu u domeni oblikovanja (dizajniranja)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 u kojemu djeluje jedno ili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- proizvo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 izvedbenih umjetnosti.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emo, dakle, ukazati na mjesto i ulogu dizajna u proizvodnji, distribuciji i konzumaciji izvedbenih umjetnosti, kao i na razini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tvenog utjecaja i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inka djela izvedbenih umjetnosti.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2. Dizajn u samom proizvodu - predstavi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Na razini proizvodnje djela izvedbenih umjetnosti, dizajn je organski ugra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en u gotovo sve segmente predstave kao proizvoda.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Sve u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emu se pred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ima publike (konzumenata) pojavljuje i po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emu se vizualno prepoznaje jedna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na predstava pripada, zapravo,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ju dizajna. Scena, kostim, dizajn svjetla, dizajn zvuka, dizajnirana programska knji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ica, dizajnirana web stranica, prire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eni videomaterijali, multimedija kori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tena u predstavi, sve su to proizvodi iz sfere dizajna koji grade i oblikuju kona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 proizvod - predstavu. Uzimaju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u obzir apsolutnu prevlast vizualne komunikacije konzumenta predstave (koji se, uostalom, zato i zove gledatelj) u odnosu na kori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tene svih drugih osjetila u procesu komunikacije s izvedbom,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 istaknuti izuzetnu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nost i ulogu likovnog dizajna u proizvodnji i konzumaciji djela izvedbenih umjetnosti.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U tom smislu i unaprje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enje dizajna u predstavi izravno utje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 na unaprje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enje procesa njezine produkcije i kona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nog proizvoda, na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razina istovremeno - estetskoj,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enjskoj, komunikacijskoj, tehni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ko/tehnolo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koj, ali i produkcijskoj. Kako tehnolo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ka unaprje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enja, znanja o ne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inima proizvodnje izravno utje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 na pove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anje produktivnosti (</w:t>
      </w:r>
      <w:r>
        <w:rPr>
          <w:rFonts w:ascii="Arial"/>
          <w:sz w:val="24"/>
          <w:szCs w:val="24"/>
          <w:rtl w:val="0"/>
          <w:lang w:val="it-IT"/>
        </w:rPr>
        <w:t>vidi Heilbrun i Gray, 2001:</w:t>
      </w:r>
      <w:r>
        <w:rPr>
          <w:rFonts w:ascii="Arial"/>
          <w:sz w:val="24"/>
          <w:szCs w:val="24"/>
          <w:rtl w:val="0"/>
        </w:rPr>
        <w:t>139), tako i unaprje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enje dizajna u svim njegovim sferama utjecaja na proizvodnju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ne predstave u kona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nici utje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 na kvalitetu produkcije.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Razmatranje estetskih,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enjskih i komunikacijskih razina utjecaja zahtijevalo bi znatno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prostora i potpuno druga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iji okvir razmatranja. Na ovom mjestu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elim zato istaknuti samo mjesta utjecaja dizajna na produkciju.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Uspje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nim i kvalitetnim (a to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inovativnim, kreativnim, promi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ljenim i tehni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 naprednim) dizajnom u segmentu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ne produkcije izravno se ostvaruje:   </w:t>
      </w:r>
    </w:p>
    <w:p>
      <w:pPr>
        <w:pStyle w:val="Body"/>
        <w:numPr>
          <w:ilvl w:val="0"/>
          <w:numId w:val="6"/>
        </w:numPr>
        <w:spacing w:line="360" w:lineRule="auto"/>
        <w:ind w:left="240"/>
        <w:rPr>
          <w:rFonts w:ascii="Arial" w:cs="Arial" w:hAnsi="Arial" w:eastAsia="Arial"/>
          <w:position w:val="4"/>
          <w:sz w:val="29"/>
          <w:szCs w:val="29"/>
        </w:rPr>
      </w:pPr>
      <w:r>
        <w:rPr>
          <w:rFonts w:ascii="Arial"/>
          <w:sz w:val="24"/>
          <w:szCs w:val="24"/>
          <w:rtl w:val="0"/>
        </w:rPr>
        <w:t>jeftinija proizvodnja predstave</w:t>
      </w:r>
    </w:p>
    <w:p>
      <w:pPr>
        <w:pStyle w:val="Body"/>
        <w:numPr>
          <w:ilvl w:val="0"/>
          <w:numId w:val="7"/>
        </w:numPr>
        <w:spacing w:line="360" w:lineRule="auto"/>
        <w:ind w:left="240"/>
        <w:rPr>
          <w:rFonts w:ascii="Arial" w:cs="Arial" w:hAnsi="Arial" w:eastAsia="Arial"/>
          <w:position w:val="4"/>
          <w:sz w:val="29"/>
          <w:szCs w:val="29"/>
        </w:rPr>
      </w:pPr>
      <w:r>
        <w:rPr>
          <w:rFonts w:ascii="Arial"/>
          <w:sz w:val="24"/>
          <w:szCs w:val="24"/>
          <w:rtl w:val="0"/>
        </w:rPr>
        <w:t>br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 i obimnija proizvodnja elemenata (kostima, scenografije, multimedije</w:t>
      </w:r>
      <w:r>
        <w:rPr>
          <w:rFonts w:hAnsi="Arial" w:hint="default"/>
          <w:sz w:val="24"/>
          <w:szCs w:val="24"/>
          <w:rtl w:val="0"/>
        </w:rPr>
        <w:t>…</w:t>
      </w:r>
      <w:r>
        <w:rPr>
          <w:rFonts w:ascii="Arial"/>
          <w:sz w:val="24"/>
          <w:szCs w:val="24"/>
          <w:rtl w:val="0"/>
        </w:rPr>
        <w:t>)</w:t>
      </w:r>
    </w:p>
    <w:p>
      <w:pPr>
        <w:pStyle w:val="Body"/>
        <w:numPr>
          <w:ilvl w:val="0"/>
          <w:numId w:val="8"/>
        </w:numPr>
        <w:spacing w:line="360" w:lineRule="auto"/>
        <w:ind w:left="240"/>
        <w:rPr>
          <w:rFonts w:ascii="Arial" w:cs="Arial" w:hAnsi="Arial" w:eastAsia="Arial"/>
          <w:position w:val="4"/>
          <w:sz w:val="29"/>
          <w:szCs w:val="29"/>
        </w:rPr>
      </w:pPr>
      <w:r>
        <w:rPr>
          <w:rFonts w:ascii="Arial"/>
          <w:sz w:val="24"/>
          <w:szCs w:val="24"/>
          <w:rtl w:val="0"/>
        </w:rPr>
        <w:t xml:space="preserve">efektnija vizualnost predstave u cjelini </w:t>
      </w:r>
    </w:p>
    <w:p>
      <w:pPr>
        <w:pStyle w:val="Body"/>
        <w:numPr>
          <w:ilvl w:val="0"/>
          <w:numId w:val="9"/>
        </w:numPr>
        <w:spacing w:line="360" w:lineRule="auto"/>
        <w:ind w:left="240"/>
        <w:rPr>
          <w:rFonts w:ascii="Arial" w:cs="Arial" w:hAnsi="Arial" w:eastAsia="Arial"/>
          <w:position w:val="4"/>
          <w:sz w:val="29"/>
          <w:szCs w:val="29"/>
        </w:rPr>
      </w:pPr>
      <w:r>
        <w:rPr>
          <w:rFonts w:ascii="Arial"/>
          <w:sz w:val="24"/>
          <w:szCs w:val="24"/>
          <w:rtl w:val="0"/>
        </w:rPr>
        <w:t>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itost i privla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nost proizvoda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a ne treba zanemariti ni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nost da se inovativnim i promi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ljenim dizajnerskim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enjima otvaraju novi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prostori za potencijalne sponzore i eventualni </w:t>
      </w:r>
      <w:r>
        <w:rPr>
          <w:rFonts w:ascii="Arial"/>
          <w:i w:val="1"/>
          <w:iCs w:val="1"/>
          <w:sz w:val="24"/>
          <w:szCs w:val="24"/>
          <w:rtl w:val="0"/>
        </w:rPr>
        <w:t>product placement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3. Dizajn u marketingu proizvoda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Na razini marketinga, distribucije i konzumacije djela izvedbenih umjetnosti dizajn ima upravo 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nu, ako ne i presudnu ulogu.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Kako je kreairanje poruke u svakoj marketin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koj kampanji duboko ukorijenjeno u vizualnost poruke i smjera na emocionalne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inke te vizualnosti, jasno je da se u marketiranju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kih proizvoda ovaj odnos samo poja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ava. Prelazak 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civilizacije s verbalne na slikovnu kulturu komuniciranja u reklamnom ogla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avanju (vidi Todorovi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2009:351) postavio je pred dizajn iznimno zahtjevne zada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u marketingu. Osim toga, kad govorimo o odnosu kreativnih proizvoda i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u prvom redu 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avamo upravo porast svijesti o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nosti vizualnog identiteta tih proizvoda u odnosu na druge elemente promocije (vidi Caves, 2000:146). Pakiranje predstava izravno ovisi o dizajnu u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ak tri od ukupno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etiri temeljna elementa pakiranja - u atraktivnosti, vidljivosti i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itosti, a neizravno ima utjecaja i na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etvrtu -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nost. (vidi </w:t>
      </w:r>
      <w:r>
        <w:rPr>
          <w:rFonts w:ascii="Arial"/>
          <w:sz w:val="24"/>
          <w:szCs w:val="24"/>
          <w:rtl w:val="0"/>
          <w:lang w:val="da-DK"/>
        </w:rPr>
        <w:t>Richards i Palmer, 2010:</w:t>
      </w:r>
      <w:r>
        <w:rPr>
          <w:rFonts w:ascii="Arial"/>
          <w:sz w:val="24"/>
          <w:szCs w:val="24"/>
          <w:rtl w:val="0"/>
        </w:rPr>
        <w:t xml:space="preserve">284).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Osim na razini oblikovanja marketin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ke poruke, dizajn ima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nu ulogu i u odnosu na izbor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eljenog i ciljanog odredi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ta/primatelja marketin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ke poruke (vidi Fifield, 2003:244). Kulturalno kodiranje dizajna upravo je presudno u ostvarivanju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eljenog oblika komunikacije i uspostavi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razgovora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s ciljanim publikama. Gre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ke u tom postupku mogu biti nemjerljivo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tetne, 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su kod dobrog postupka koristi iznimno velike. Analogno Adizesovim zapa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anjima o velikom utjecaju prividno bezna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ajnih i nevidljivih lingvisti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kih razlika ili nespretnosti na proces komuniciranja (vidi Adizes, 2012:261-275)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 pravocrtno izvesti zaklju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o istovjetnom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inku dizajnerskih elemenata, u prvom redu boja i oblika na kognitivni, ali i emocionalni aspekt marketin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ke komunikacije. Kulturalno kontekstiranje boja i oblika u procesu marketinga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 je za (ne)uspjeh komunikacije s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tima ako ne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e, a ono barem jednako koliko i lingvisti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ko. Marketin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ki neobi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ni afektivni procesi i sfera tzv.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hedonisti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ke potro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(vidi Colbert, 2010:128) dodaju vizualnosti marketinga mo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nu iracionalnu komponentu. Nadalje, u postupku koji Kotler i Scheff opisuju kao stvaranje slike/predod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be/izgleda (image) koja konstruira stvarnost (vidi Kotler i Scheff, 1997:379-382) rije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 xml:space="preserve">je, zapravo, o svojevrsnom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dizajniranju stvarnosti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ili jo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 xml:space="preserve">radikalnije, 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dizajniranju slike svijeta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koja na sociopsiholo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kim razinama oblikuje pona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anje kupaca/potro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a, a preko tog utjecaja,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ire, oblikuje i sliku kulturne potro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nje u konkretnoj sredini,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izravno utje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 na izgled (image) te sredine. Upravo te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tehnike oblikovanja svakodnevice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(Todorovi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, 2009:347) temeljno se zasnivaju na dizajnu.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i sve izra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eniji negativni psihosocijalni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inci konzumeristi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kog pristupa vrednovanju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tvenih dobara i pove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ana svijest o njima (vidi Ivey, 2008:101) ostavljaju prostor za marketin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 manipuliranje dizajnom (kakva je, recimo, upotreba recikliranih materijala, ekolo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kih boja, eti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nost ogla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avanja i sl.).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Digitalno doba ne samo da nije umanjilo, nego je,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e, uve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alo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nost dizajna u marketingu izvedbenih umjetnosti. Element zabave u psihologiji, posebno u procesima 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su upravljanje dojmovima i tvorba identiteta, upravo u virtualnom svijetu po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iva na slici i njezinom (dizajnerskom) plasiranju (vidi Giles, 2011:203). Kona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no, kad se govori o utjecaju digitalnih tehnologija na suvremeni dizajn, ne treba smetnuti s uma da su i sami digitalni alati u najve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oj mjeri (i) dizajnerski proizvodi. (vidi Todorovi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, 2009:367).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4. Dizajniranje kazali</w:t>
      </w:r>
      <w:r>
        <w:rPr>
          <w:rFonts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/>
          <w:b w:val="1"/>
          <w:bCs w:val="1"/>
          <w:sz w:val="24"/>
          <w:szCs w:val="24"/>
          <w:rtl w:val="0"/>
        </w:rPr>
        <w:t>ta - urbani dizajn i stvaranje identiteta sredine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Na razini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tvenog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inka (impact) djela izvedbenih umjetnosti dizajn ostvaruje izravni i neizravni utjecaj.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Kad je rije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>o izravnom utjecaju i izravnim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incima (direct impact) osim ve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obja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njene uloge u dizajniranju proizvoda i dizajniranju merketinga, dizajn ima nezamjenjivu ulgu u institucionalnom dizajniranju i pozicioniranju ustanove. Pritom je samo brendiranje kulturnih ustanova znatno slo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enije od brendiranja njihovih proizvoda, pri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emu je uloga dizajna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 (vidi Bernstein, 2007:194). Razvijanjem znanja o upravljanju slo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enim sustavima i razvijanjem svijesti o socijalnom pozicioniranju urbanih sustava kroz kulturu, dizajn se nalazi pred zada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ama projekata koji promi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ljaju strategije razvoja dinami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nih kulturnih sredi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 po modelu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curating city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ili kuratorskom vo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enju urbanih kulturnih politika. U takvom pristupu brendiranje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irih zajednica, poput cijelih urbanih sredina, postaje presudnim za uspje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nost pojedina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nih programa i sadr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aja koji se u njima doga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aju (vidi Richards i Palmer, 2010:270-277). U razvijanju suvremenih pristupa kulturnim politikama izra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eno mjesto ima vrednovanje kreativne proizvodnje i kreativnih proizvoda kao kulturnih proizvoda s mjerljivim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incima na stvaranje kulturnog identiteta (vidi Singh, 2011:22). U tim procesima dizajn ostvaruje ulogu sredstva za vizualiziranje i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ito predstavljanje slo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enih apstraktnih ideja. 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Na razini strate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kog promi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ljanja izvedbenih umjetnosti i kulturnih politika unutar kojih se izvedbene umjetnosti (re)pozicioniraju, dizajn se (imaju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u vidu sve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sam istaknuo govore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o prethodne dvije razine odnosa dizajn/izvedbene umjetnosti) uklju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uje u proces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izgradnje publika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.  Kako je, naime, u stvaranju novih publika (jednoj od temeljnih zada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 novih europskih i euroatlantskih kulturnih politika i strategija) rije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 xml:space="preserve">prije svega 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stvaranju vrijednosti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i njezinim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kreativnim definiranjima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(Walker-Kuhne, 2005:30), svi pokazani utjeacji dizajna na oblikovanje proizvoda i na njegovo marketiranje u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irem se smislu uklju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uju u ovaj proces.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Uzme li se u obzir i nepovratni proces utjecaja tehnologija na promjene u oblicima interpersonalne komunikacije (vidi Tubbs, 2013:683) dizajnu se otvaraju i posve novi prostori u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jima komunikaije predstava/publike, kroz utjecaje u sferi ljudskog pona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anja, ali to je ve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tema jedne posebne rasprave.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Literatura: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Adizes, I.K. (2012) </w:t>
      </w:r>
      <w:r>
        <w:rPr>
          <w:rFonts w:ascii="Arial"/>
          <w:i w:val="1"/>
          <w:iCs w:val="1"/>
          <w:sz w:val="24"/>
          <w:szCs w:val="24"/>
          <w:rtl w:val="0"/>
        </w:rPr>
        <w:t>O menad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mentu</w:t>
      </w:r>
      <w:r>
        <w:rPr>
          <w:rFonts w:ascii="Arial"/>
          <w:sz w:val="24"/>
          <w:szCs w:val="24"/>
          <w:rtl w:val="0"/>
        </w:rPr>
        <w:t>, Beograd, Hisperia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Bernstein, J.S. (2007) </w:t>
      </w:r>
      <w:r>
        <w:rPr>
          <w:rFonts w:ascii="Arial"/>
          <w:i w:val="1"/>
          <w:iCs w:val="1"/>
          <w:sz w:val="24"/>
          <w:szCs w:val="24"/>
          <w:rtl w:val="0"/>
        </w:rPr>
        <w:t>Arts Marketing Insights</w:t>
      </w:r>
      <w:r>
        <w:rPr>
          <w:rFonts w:ascii="Arial"/>
          <w:sz w:val="24"/>
          <w:szCs w:val="24"/>
          <w:rtl w:val="0"/>
        </w:rPr>
        <w:t>, San Francisco, Willey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Bilton, C. (2010) </w:t>
      </w:r>
      <w:r>
        <w:rPr>
          <w:rFonts w:ascii="Arial"/>
          <w:i w:val="1"/>
          <w:iCs w:val="1"/>
          <w:sz w:val="24"/>
          <w:szCs w:val="24"/>
          <w:rtl w:val="0"/>
        </w:rPr>
        <w:t>Menad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ment i kreativnost</w:t>
      </w:r>
      <w:r>
        <w:rPr>
          <w:rFonts w:ascii="Arial"/>
          <w:sz w:val="24"/>
          <w:szCs w:val="24"/>
          <w:rtl w:val="0"/>
        </w:rPr>
        <w:t>, Beograd, CLIO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Byrnes, W.J. (2003) </w:t>
      </w:r>
      <w:r>
        <w:rPr>
          <w:rFonts w:ascii="Arial"/>
          <w:i w:val="1"/>
          <w:iCs w:val="1"/>
          <w:sz w:val="24"/>
          <w:szCs w:val="24"/>
          <w:rtl w:val="0"/>
        </w:rPr>
        <w:t>Management and the Arts</w:t>
      </w:r>
      <w:r>
        <w:rPr>
          <w:rFonts w:ascii="Arial"/>
          <w:sz w:val="24"/>
          <w:szCs w:val="24"/>
          <w:rtl w:val="0"/>
        </w:rPr>
        <w:t>, Amsterdam, Elsevere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Caves, R.E. (2000) </w:t>
      </w:r>
      <w:r>
        <w:rPr>
          <w:rFonts w:ascii="Arial"/>
          <w:i w:val="1"/>
          <w:iCs w:val="1"/>
          <w:sz w:val="24"/>
          <w:szCs w:val="24"/>
          <w:rtl w:val="0"/>
        </w:rPr>
        <w:t>Creative Industries</w:t>
      </w:r>
      <w:r>
        <w:rPr>
          <w:rFonts w:ascii="Arial"/>
          <w:sz w:val="24"/>
          <w:szCs w:val="24"/>
          <w:rtl w:val="0"/>
        </w:rPr>
        <w:t>, Cambridge, Harvard University Press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Chong, D. (2005) </w:t>
      </w:r>
      <w:r>
        <w:rPr>
          <w:rFonts w:ascii="Arial"/>
          <w:i w:val="1"/>
          <w:iCs w:val="1"/>
          <w:sz w:val="24"/>
          <w:szCs w:val="24"/>
          <w:rtl w:val="0"/>
        </w:rPr>
        <w:t>Arts Management</w:t>
      </w:r>
      <w:r>
        <w:rPr>
          <w:rFonts w:ascii="Arial"/>
          <w:sz w:val="24"/>
          <w:szCs w:val="24"/>
          <w:rtl w:val="0"/>
        </w:rPr>
        <w:t>, London, Routledge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Colbert, F. (2010) </w:t>
      </w:r>
      <w:r>
        <w:rPr>
          <w:rFonts w:ascii="Arial"/>
          <w:i w:val="1"/>
          <w:iCs w:val="1"/>
          <w:sz w:val="24"/>
          <w:szCs w:val="24"/>
          <w:rtl w:val="0"/>
        </w:rPr>
        <w:t>Marketing u kulturi i umetnosti</w:t>
      </w:r>
      <w:r>
        <w:rPr>
          <w:rFonts w:ascii="Arial"/>
          <w:sz w:val="24"/>
          <w:szCs w:val="24"/>
          <w:rtl w:val="0"/>
        </w:rPr>
        <w:t>, Beograd, CLIO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Dragi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evi</w:t>
      </w:r>
      <w:r>
        <w:rPr>
          <w:rFonts w:hAnsi="Arial" w:hint="default"/>
          <w:sz w:val="24"/>
          <w:szCs w:val="24"/>
          <w:rtl w:val="0"/>
        </w:rPr>
        <w:t>ć Š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M., Stojkovi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, B. (2011) </w:t>
      </w:r>
      <w:r>
        <w:rPr>
          <w:rFonts w:ascii="Arial"/>
          <w:i w:val="1"/>
          <w:iCs w:val="1"/>
          <w:sz w:val="24"/>
          <w:szCs w:val="24"/>
          <w:rtl w:val="0"/>
        </w:rPr>
        <w:t>Kultura, menad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ment, animacija</w:t>
      </w:r>
      <w:r>
        <w:rPr>
          <w:rFonts w:ascii="Arial"/>
          <w:sz w:val="24"/>
          <w:szCs w:val="24"/>
          <w:rtl w:val="0"/>
        </w:rPr>
        <w:t>, marketing, Beograd, CLIO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Fifield, P. (2003) </w:t>
      </w:r>
      <w:r>
        <w:rPr>
          <w:rFonts w:ascii="Arial"/>
          <w:i w:val="1"/>
          <w:iCs w:val="1"/>
          <w:sz w:val="24"/>
          <w:szCs w:val="24"/>
          <w:rtl w:val="0"/>
        </w:rPr>
        <w:t>Strategije u marketingu</w:t>
      </w:r>
      <w:r>
        <w:rPr>
          <w:rFonts w:ascii="Arial"/>
          <w:sz w:val="24"/>
          <w:szCs w:val="24"/>
          <w:rtl w:val="0"/>
        </w:rPr>
        <w:t>, Beograd, CLIO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Frey, B.S. (2003) </w:t>
      </w:r>
      <w:r>
        <w:rPr>
          <w:rFonts w:ascii="Arial"/>
          <w:i w:val="1"/>
          <w:iCs w:val="1"/>
          <w:sz w:val="24"/>
          <w:szCs w:val="24"/>
          <w:rtl w:val="0"/>
        </w:rPr>
        <w:t>Arts &amp; Economics</w:t>
      </w:r>
      <w:r>
        <w:rPr>
          <w:rFonts w:ascii="Arial"/>
          <w:sz w:val="24"/>
          <w:szCs w:val="24"/>
          <w:rtl w:val="0"/>
        </w:rPr>
        <w:t>, Heidelberg, Springer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Giles, D. (2011) </w:t>
      </w:r>
      <w:r>
        <w:rPr>
          <w:rFonts w:ascii="Arial"/>
          <w:i w:val="1"/>
          <w:iCs w:val="1"/>
          <w:sz w:val="24"/>
          <w:szCs w:val="24"/>
          <w:rtl w:val="0"/>
        </w:rPr>
        <w:t>Psihologija medija</w:t>
      </w:r>
      <w:r>
        <w:rPr>
          <w:rFonts w:ascii="Arial"/>
          <w:sz w:val="24"/>
          <w:szCs w:val="24"/>
          <w:rtl w:val="0"/>
        </w:rPr>
        <w:t>, Beograd, CLIO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a-DK"/>
        </w:rPr>
        <w:t>Heilbrun, J.</w:t>
      </w:r>
      <w:r>
        <w:rPr>
          <w:rFonts w:ascii="Arial"/>
          <w:sz w:val="24"/>
          <w:szCs w:val="24"/>
          <w:rtl w:val="0"/>
        </w:rPr>
        <w:t xml:space="preserve">,Gray, C.M. (2001) </w:t>
      </w:r>
      <w:r>
        <w:rPr>
          <w:rFonts w:ascii="Arial"/>
          <w:i w:val="1"/>
          <w:iCs w:val="1"/>
          <w:sz w:val="24"/>
          <w:szCs w:val="24"/>
          <w:rtl w:val="0"/>
        </w:rPr>
        <w:t>The Economics of Art and Culture</w:t>
      </w:r>
      <w:r>
        <w:rPr>
          <w:rFonts w:ascii="Arial"/>
          <w:sz w:val="24"/>
          <w:szCs w:val="24"/>
          <w:rtl w:val="0"/>
        </w:rPr>
        <w:t>, Cambridge, Cambridge University Press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Ivey, B. (2008) </w:t>
      </w:r>
      <w:r>
        <w:rPr>
          <w:rFonts w:ascii="Arial"/>
          <w:i w:val="1"/>
          <w:iCs w:val="1"/>
          <w:sz w:val="24"/>
          <w:szCs w:val="24"/>
          <w:rtl w:val="0"/>
        </w:rPr>
        <w:t>arts, inc.</w:t>
      </w:r>
      <w:r>
        <w:rPr>
          <w:rFonts w:ascii="Arial"/>
          <w:sz w:val="24"/>
          <w:szCs w:val="24"/>
          <w:rtl w:val="0"/>
        </w:rPr>
        <w:t xml:space="preserve"> Berkley, University of California Press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Kotler, P., Scheff, J. (1997) </w:t>
      </w:r>
      <w:r>
        <w:rPr>
          <w:rFonts w:ascii="Arial"/>
          <w:i w:val="1"/>
          <w:iCs w:val="1"/>
          <w:sz w:val="24"/>
          <w:szCs w:val="24"/>
          <w:rtl w:val="0"/>
        </w:rPr>
        <w:t>Standing Room Only</w:t>
      </w:r>
      <w:r>
        <w:rPr>
          <w:rFonts w:ascii="Arial"/>
          <w:sz w:val="24"/>
          <w:szCs w:val="24"/>
          <w:rtl w:val="0"/>
        </w:rPr>
        <w:t>, Boston, Harvard Business School Press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Luki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, D. (2010a) </w:t>
      </w:r>
      <w:r>
        <w:rPr>
          <w:rFonts w:ascii="Arial"/>
          <w:i w:val="1"/>
          <w:iCs w:val="1"/>
          <w:sz w:val="24"/>
          <w:szCs w:val="24"/>
          <w:rtl w:val="0"/>
        </w:rPr>
        <w:t>Produkcija i marketing scenskih umjetnosti</w:t>
      </w:r>
      <w:r>
        <w:rPr>
          <w:rFonts w:ascii="Arial"/>
          <w:sz w:val="24"/>
          <w:szCs w:val="24"/>
          <w:rtl w:val="0"/>
        </w:rPr>
        <w:t>, Zagreb, Hrvatski centar ITI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Luki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, D. (2010b) </w:t>
      </w:r>
      <w:r>
        <w:rPr>
          <w:rFonts w:ascii="Arial"/>
          <w:i w:val="1"/>
          <w:iCs w:val="1"/>
          <w:sz w:val="24"/>
          <w:szCs w:val="24"/>
          <w:rtl w:val="0"/>
        </w:rPr>
        <w:t>Kazali</w:t>
      </w:r>
      <w:r>
        <w:rPr>
          <w:rFonts w:hAnsi="Arial" w:hint="default"/>
          <w:i w:val="1"/>
          <w:iCs w:val="1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sz w:val="24"/>
          <w:szCs w:val="24"/>
          <w:rtl w:val="0"/>
        </w:rPr>
        <w:t>te u svom okru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enju, Kazali</w:t>
      </w:r>
      <w:r>
        <w:rPr>
          <w:rFonts w:hAnsi="Arial" w:hint="default"/>
          <w:i w:val="1"/>
          <w:iCs w:val="1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sz w:val="24"/>
          <w:szCs w:val="24"/>
          <w:rtl w:val="0"/>
        </w:rPr>
        <w:t>ni identiteti</w:t>
      </w:r>
      <w:r>
        <w:rPr>
          <w:rFonts w:ascii="Arial"/>
          <w:sz w:val="24"/>
          <w:szCs w:val="24"/>
          <w:rtl w:val="0"/>
        </w:rPr>
        <w:t>, Zagreb, Leykam International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Pavi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J., Alfirevi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N., Aleksi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, Lj. (2007) </w:t>
      </w:r>
      <w:r>
        <w:rPr>
          <w:rFonts w:ascii="Arial"/>
          <w:i w:val="1"/>
          <w:iCs w:val="1"/>
          <w:sz w:val="24"/>
          <w:szCs w:val="24"/>
          <w:rtl w:val="0"/>
        </w:rPr>
        <w:t>Marketing i menad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ment u kulturi i umjetnosti</w:t>
      </w:r>
      <w:r>
        <w:rPr>
          <w:rFonts w:ascii="Arial"/>
          <w:sz w:val="24"/>
          <w:szCs w:val="24"/>
          <w:rtl w:val="0"/>
        </w:rPr>
        <w:t>, Zagreb, Masmedia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Richards, G., Palmer, R. (2010) </w:t>
      </w:r>
      <w:r>
        <w:rPr>
          <w:rFonts w:ascii="Arial"/>
          <w:i w:val="1"/>
          <w:iCs w:val="1"/>
          <w:sz w:val="24"/>
          <w:szCs w:val="24"/>
          <w:rtl w:val="0"/>
        </w:rPr>
        <w:t>Eventful Cities</w:t>
      </w:r>
      <w:r>
        <w:rPr>
          <w:rFonts w:ascii="Arial"/>
          <w:sz w:val="24"/>
          <w:szCs w:val="24"/>
          <w:rtl w:val="0"/>
        </w:rPr>
        <w:t>, Amsterdam, Elsevier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Singh, J.P. (2011) </w:t>
      </w:r>
      <w:r>
        <w:rPr>
          <w:rFonts w:ascii="Arial"/>
          <w:i w:val="1"/>
          <w:iCs w:val="1"/>
          <w:sz w:val="24"/>
          <w:szCs w:val="24"/>
          <w:rtl w:val="0"/>
        </w:rPr>
        <w:t>Globalized Arts</w:t>
      </w:r>
      <w:r>
        <w:rPr>
          <w:rFonts w:ascii="Arial"/>
          <w:sz w:val="24"/>
          <w:szCs w:val="24"/>
          <w:rtl w:val="0"/>
        </w:rPr>
        <w:t>, New York, Columbia University Press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Throsby, D. (2001) </w:t>
      </w:r>
      <w:r>
        <w:rPr>
          <w:rFonts w:ascii="Arial"/>
          <w:i w:val="1"/>
          <w:iCs w:val="1"/>
          <w:sz w:val="24"/>
          <w:szCs w:val="24"/>
          <w:rtl w:val="0"/>
        </w:rPr>
        <w:t>Economics and Culture</w:t>
      </w:r>
      <w:r>
        <w:rPr>
          <w:rFonts w:ascii="Arial"/>
          <w:sz w:val="24"/>
          <w:szCs w:val="24"/>
          <w:rtl w:val="0"/>
        </w:rPr>
        <w:t>, Cambridge, Cambridge University Press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Throsby, D. (2010) </w:t>
      </w:r>
      <w:r>
        <w:rPr>
          <w:rFonts w:ascii="Arial"/>
          <w:i w:val="1"/>
          <w:iCs w:val="1"/>
          <w:sz w:val="24"/>
          <w:szCs w:val="24"/>
          <w:rtl w:val="0"/>
        </w:rPr>
        <w:t>The Economics of Cultural Policy</w:t>
      </w:r>
      <w:r>
        <w:rPr>
          <w:rFonts w:ascii="Arial"/>
          <w:sz w:val="24"/>
          <w:szCs w:val="24"/>
          <w:rtl w:val="0"/>
        </w:rPr>
        <w:t>, Cambridge, Cambridge University Press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Todorovi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A.L. (2009)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Umetnost i tehnologije komunikacija</w:t>
      </w:r>
      <w:r>
        <w:rPr>
          <w:rFonts w:ascii="Arial"/>
          <w:sz w:val="24"/>
          <w:szCs w:val="24"/>
          <w:rtl w:val="0"/>
        </w:rPr>
        <w:t>, Beograd, CLIO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Tubbs, S. (2013) </w:t>
      </w:r>
      <w:r>
        <w:rPr>
          <w:rFonts w:ascii="Arial"/>
          <w:i w:val="1"/>
          <w:iCs w:val="1"/>
          <w:sz w:val="24"/>
          <w:szCs w:val="24"/>
          <w:rtl w:val="0"/>
        </w:rPr>
        <w:t>Komunikacija</w:t>
      </w:r>
      <w:r>
        <w:rPr>
          <w:rFonts w:ascii="Arial"/>
          <w:sz w:val="24"/>
          <w:szCs w:val="24"/>
          <w:rtl w:val="0"/>
        </w:rPr>
        <w:t>, Beograd, CLIO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Walker-Kuhne, D. (2005)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Invitation to the Party</w:t>
      </w:r>
      <w:r>
        <w:rPr>
          <w:rFonts w:ascii="Arial"/>
          <w:sz w:val="24"/>
          <w:szCs w:val="24"/>
          <w:rtl w:val="0"/>
        </w:rPr>
        <w:t>, New York, Theatre Communication Group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rial" w:cs="Arial" w:hAnsi="Arial" w:eastAsia="Arial"/>
        <w:b w:val="1"/>
        <w:bCs w:val="1"/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Arial" w:cs="Arial" w:hAnsi="Arial" w:eastAsia="Arial"/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Arial" w:cs="Arial" w:hAnsi="Arial" w:eastAsia="Arial"/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Arial" w:cs="Arial" w:hAnsi="Arial" w:eastAsia="Arial"/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Arial" w:cs="Arial" w:hAnsi="Arial" w:eastAsia="Arial"/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Arial" w:cs="Arial" w:hAnsi="Arial" w:eastAsia="Arial"/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Arial" w:cs="Arial" w:hAnsi="Arial" w:eastAsia="Arial"/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Arial" w:cs="Arial" w:hAnsi="Arial" w:eastAsia="Arial"/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Arial" w:cs="Arial" w:hAnsi="Arial" w:eastAsia="Arial"/>
        <w:position w:val="4"/>
        <w:sz w:val="29"/>
        <w:szCs w:val="2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  <w:style w:type="numbering" w:styleId="List 1">
    <w:name w:val="List 1"/>
    <w:basedOn w:val="Dash"/>
    <w:next w:val="List 1"/>
    <w:pPr>
      <w:numPr>
        <w:numId w:val="4"/>
      </w:numPr>
    </w:pPr>
  </w:style>
  <w:style w:type="numbering" w:styleId="Dash">
    <w:name w:val="Dash"/>
    <w:next w:val="Dash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